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0F994" w14:textId="77777777" w:rsidR="00314800" w:rsidRPr="009B5D24" w:rsidRDefault="00314800" w:rsidP="009B5D24">
      <w:pPr>
        <w:spacing w:after="0"/>
        <w:jc w:val="center"/>
        <w:rPr>
          <w:rFonts w:cstheme="minorHAnsi"/>
          <w:b/>
          <w:bCs/>
        </w:rPr>
      </w:pPr>
      <w:r w:rsidRPr="009B5D24">
        <w:rPr>
          <w:rFonts w:cstheme="minorHAnsi"/>
          <w:b/>
          <w:bCs/>
        </w:rPr>
        <w:t>Analyzing Relationships Between Disability, Rehabilitation, and Work Graduate Student Research Program</w:t>
      </w:r>
    </w:p>
    <w:p w14:paraId="613A4358" w14:textId="4902A90A" w:rsidR="00314800" w:rsidRDefault="00314800" w:rsidP="009B5D24">
      <w:pPr>
        <w:spacing w:after="0"/>
        <w:jc w:val="center"/>
        <w:rPr>
          <w:rFonts w:cstheme="minorHAnsi"/>
          <w:b/>
          <w:bCs/>
        </w:rPr>
      </w:pPr>
      <w:r w:rsidRPr="009B5D24">
        <w:rPr>
          <w:rFonts w:cstheme="minorHAnsi"/>
          <w:b/>
          <w:bCs/>
        </w:rPr>
        <w:t>Frequently Asked Questions</w:t>
      </w:r>
    </w:p>
    <w:p w14:paraId="73DC7D4E" w14:textId="77777777" w:rsidR="00314800" w:rsidRDefault="00314800" w:rsidP="00314800">
      <w:pPr>
        <w:spacing w:after="0"/>
        <w:rPr>
          <w:rFonts w:cstheme="minorHAnsi"/>
        </w:rPr>
      </w:pPr>
    </w:p>
    <w:p w14:paraId="1D8A185F" w14:textId="7ED2257C" w:rsidR="00314800" w:rsidRDefault="00314800" w:rsidP="00314800">
      <w:pPr>
        <w:pStyle w:val="ListParagraph"/>
        <w:numPr>
          <w:ilvl w:val="0"/>
          <w:numId w:val="1"/>
        </w:numPr>
        <w:spacing w:after="0"/>
        <w:rPr>
          <w:rFonts w:cstheme="minorHAnsi"/>
        </w:rPr>
      </w:pPr>
      <w:r>
        <w:rPr>
          <w:rFonts w:cstheme="minorHAnsi"/>
        </w:rPr>
        <w:t>Are Universities eligible to apply?</w:t>
      </w:r>
    </w:p>
    <w:p w14:paraId="7676D42B" w14:textId="3AF4A4E7" w:rsidR="00314800" w:rsidRPr="008C0A5C" w:rsidRDefault="00314800" w:rsidP="00314800">
      <w:pPr>
        <w:pStyle w:val="ListParagraph"/>
        <w:numPr>
          <w:ilvl w:val="1"/>
          <w:numId w:val="1"/>
        </w:numPr>
        <w:spacing w:after="0"/>
        <w:rPr>
          <w:rFonts w:cstheme="minorHAnsi"/>
        </w:rPr>
      </w:pPr>
      <w:r>
        <w:rPr>
          <w:rFonts w:cstheme="minorHAnsi"/>
        </w:rPr>
        <w:t xml:space="preserve">Yes, eligible include </w:t>
      </w:r>
      <w:r>
        <w:t>Research organizations; Universities; Institutions Serving Students of Color (ISSCs)</w:t>
      </w:r>
      <w:r>
        <w:t xml:space="preserve">; </w:t>
      </w:r>
      <w:r>
        <w:t xml:space="preserve">University Centers for Excellence in Developmental Disabilities (UCEDDs), Leadership Education in Neurodevelopmental Disabilities (LEND) programs, Eunice Kennedy Shriver Intellectual and Developmental Disability Research Centers (IDDRCs), and similar programs; and Associations of research organizations and universities. Any applicant that currently receives other Federal funds must ensure that any awarded funds supplement rather than supplant existing funding. Only organizations in the United States are eligible to apply. </w:t>
      </w:r>
    </w:p>
    <w:p w14:paraId="0EA7512C" w14:textId="77777777" w:rsidR="008C0A5C" w:rsidRPr="006B6BED" w:rsidRDefault="008C0A5C" w:rsidP="008C0A5C">
      <w:pPr>
        <w:pStyle w:val="ListParagraph"/>
        <w:spacing w:after="0"/>
        <w:ind w:left="1440"/>
        <w:rPr>
          <w:rFonts w:cstheme="minorHAnsi"/>
        </w:rPr>
      </w:pPr>
    </w:p>
    <w:p w14:paraId="5042E9DB" w14:textId="0499C2AE" w:rsidR="006B6BED" w:rsidRPr="006B6BED" w:rsidRDefault="006B6BED" w:rsidP="006B6BED">
      <w:pPr>
        <w:pStyle w:val="ListParagraph"/>
        <w:numPr>
          <w:ilvl w:val="0"/>
          <w:numId w:val="1"/>
        </w:numPr>
        <w:spacing w:after="0"/>
        <w:rPr>
          <w:rFonts w:cstheme="minorHAnsi"/>
        </w:rPr>
      </w:pPr>
      <w:r>
        <w:t>Can the funds be used to train a student to conduct related research?</w:t>
      </w:r>
    </w:p>
    <w:p w14:paraId="465026D7" w14:textId="59F6FA45" w:rsidR="006B6BED" w:rsidRDefault="006B6BED" w:rsidP="006B6BED">
      <w:pPr>
        <w:pStyle w:val="ListParagraph"/>
        <w:numPr>
          <w:ilvl w:val="1"/>
          <w:numId w:val="1"/>
        </w:numPr>
      </w:pPr>
      <w:r>
        <w:t xml:space="preserve">The ARDRAW program provides funding for students in </w:t>
      </w:r>
      <w:proofErr w:type="gramStart"/>
      <w:r>
        <w:t>Masters</w:t>
      </w:r>
      <w:proofErr w:type="gramEnd"/>
      <w:r>
        <w:t xml:space="preserve"> and Ph.D. level programs to perform </w:t>
      </w:r>
      <w:r>
        <w:t xml:space="preserve">independent </w:t>
      </w:r>
      <w:r>
        <w:t>research related to the Social Security Administration’s disability program.  ARDRAW funding cannot be used for training purposes.</w:t>
      </w:r>
    </w:p>
    <w:p w14:paraId="448862E3" w14:textId="77777777" w:rsidR="008C0A5C" w:rsidRDefault="008C0A5C" w:rsidP="008C0A5C">
      <w:pPr>
        <w:pStyle w:val="ListParagraph"/>
        <w:ind w:left="1440"/>
      </w:pPr>
    </w:p>
    <w:p w14:paraId="10B631D0" w14:textId="2FCD2E31" w:rsidR="006B6BED" w:rsidRDefault="006B6BED" w:rsidP="006B6BED">
      <w:pPr>
        <w:pStyle w:val="ListParagraph"/>
        <w:numPr>
          <w:ilvl w:val="0"/>
          <w:numId w:val="1"/>
        </w:numPr>
        <w:spacing w:after="0" w:line="240" w:lineRule="auto"/>
        <w:contextualSpacing w:val="0"/>
        <w:rPr>
          <w:rFonts w:eastAsia="Times New Roman"/>
        </w:rPr>
      </w:pPr>
      <w:r>
        <w:rPr>
          <w:rFonts w:eastAsia="Times New Roman"/>
        </w:rPr>
        <w:t>Are the graduate student</w:t>
      </w:r>
      <w:r>
        <w:rPr>
          <w:rFonts w:eastAsia="Times New Roman"/>
        </w:rPr>
        <w:t xml:space="preserve"> applicant</w:t>
      </w:r>
      <w:r>
        <w:rPr>
          <w:rFonts w:eastAsia="Times New Roman"/>
        </w:rPr>
        <w:t>s required</w:t>
      </w:r>
      <w:r>
        <w:rPr>
          <w:rFonts w:eastAsia="Times New Roman"/>
        </w:rPr>
        <w:t xml:space="preserve"> must identify their mentor in advance of applying for an award?</w:t>
      </w:r>
    </w:p>
    <w:p w14:paraId="3E30A88D" w14:textId="70174AC6" w:rsidR="006B6BED" w:rsidRDefault="006B6BED" w:rsidP="006B6BED">
      <w:pPr>
        <w:pStyle w:val="ListParagraph"/>
        <w:numPr>
          <w:ilvl w:val="1"/>
          <w:numId w:val="1"/>
        </w:numPr>
      </w:pPr>
      <w:r>
        <w:t>Y</w:t>
      </w:r>
      <w:r>
        <w:t>es, students applying for a stipend should identify a faculty mentor that can vouch for the student’s ability to complete the work and provide the student guidance during the research project.</w:t>
      </w:r>
    </w:p>
    <w:p w14:paraId="0B1AF5B0" w14:textId="77777777" w:rsidR="008C0A5C" w:rsidRDefault="008C0A5C" w:rsidP="008C0A5C">
      <w:pPr>
        <w:pStyle w:val="ListParagraph"/>
        <w:ind w:left="1440"/>
      </w:pPr>
    </w:p>
    <w:p w14:paraId="5B9807F7" w14:textId="77777777" w:rsidR="006B6BED" w:rsidRPr="006B6BED" w:rsidRDefault="006B6BED" w:rsidP="006B6BED">
      <w:pPr>
        <w:pStyle w:val="ListParagraph"/>
        <w:numPr>
          <w:ilvl w:val="0"/>
          <w:numId w:val="1"/>
        </w:numPr>
        <w:spacing w:after="0"/>
        <w:rPr>
          <w:rFonts w:cstheme="minorHAnsi"/>
        </w:rPr>
      </w:pPr>
      <w:r>
        <w:t>Is an organization ineligible if they receive funding from SSA to support other projects?</w:t>
      </w:r>
    </w:p>
    <w:p w14:paraId="2A2FDE3A" w14:textId="00F727EC" w:rsidR="006B6BED" w:rsidRPr="006B6BED" w:rsidRDefault="006B6BED" w:rsidP="006B6BED">
      <w:pPr>
        <w:pStyle w:val="ListParagraph"/>
        <w:numPr>
          <w:ilvl w:val="1"/>
          <w:numId w:val="1"/>
        </w:numPr>
        <w:spacing w:after="0"/>
        <w:rPr>
          <w:rFonts w:cstheme="minorHAnsi"/>
        </w:rPr>
      </w:pPr>
      <w:r>
        <w:t xml:space="preserve">No, the program management organization is eligible to apply even if they are funded through SSA for other projects. However, </w:t>
      </w:r>
      <w:r w:rsidR="008C0A5C">
        <w:t xml:space="preserve">graduate </w:t>
      </w:r>
      <w:r>
        <w:t>s</w:t>
      </w:r>
      <w:r>
        <w:t>tudents cannot receive an ARDRAW stipend if they are receiving any other SSA research funding. </w:t>
      </w:r>
    </w:p>
    <w:p w14:paraId="5B34D1C8" w14:textId="0B3221A2" w:rsidR="00DB29E0" w:rsidRPr="00314800" w:rsidRDefault="00DB29E0" w:rsidP="00314800"/>
    <w:sectPr w:rsidR="00DB29E0" w:rsidRPr="0031480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CBD5B" w14:textId="77777777" w:rsidR="009B5D24" w:rsidRDefault="009B5D24" w:rsidP="009B5D24">
      <w:pPr>
        <w:spacing w:after="0" w:line="240" w:lineRule="auto"/>
      </w:pPr>
      <w:r>
        <w:separator/>
      </w:r>
    </w:p>
  </w:endnote>
  <w:endnote w:type="continuationSeparator" w:id="0">
    <w:p w14:paraId="05474F48" w14:textId="77777777" w:rsidR="009B5D24" w:rsidRDefault="009B5D24" w:rsidP="009B5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0FE73" w14:textId="77777777" w:rsidR="009B5D24" w:rsidRDefault="009B5D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2B6F9" w14:textId="77777777" w:rsidR="009B5D24" w:rsidRPr="009B5D24" w:rsidRDefault="009B5D24" w:rsidP="009B5D24">
    <w:pPr>
      <w:spacing w:after="0"/>
      <w:jc w:val="right"/>
      <w:rPr>
        <w:rFonts w:cstheme="minorHAnsi"/>
      </w:rPr>
    </w:pPr>
    <w:r w:rsidRPr="009B5D24">
      <w:rPr>
        <w:rFonts w:cstheme="minorHAnsi"/>
      </w:rPr>
      <w:t>Updated: July 10, 2024</w:t>
    </w:r>
  </w:p>
  <w:p w14:paraId="710BB782" w14:textId="77777777" w:rsidR="009B5D24" w:rsidRDefault="009B5D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C7433" w14:textId="77777777" w:rsidR="009B5D24" w:rsidRDefault="009B5D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38FA2" w14:textId="77777777" w:rsidR="009B5D24" w:rsidRDefault="009B5D24" w:rsidP="009B5D24">
      <w:pPr>
        <w:spacing w:after="0" w:line="240" w:lineRule="auto"/>
      </w:pPr>
      <w:r>
        <w:separator/>
      </w:r>
    </w:p>
  </w:footnote>
  <w:footnote w:type="continuationSeparator" w:id="0">
    <w:p w14:paraId="47D5DC53" w14:textId="77777777" w:rsidR="009B5D24" w:rsidRDefault="009B5D24" w:rsidP="009B5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3FCA1" w14:textId="77777777" w:rsidR="009B5D24" w:rsidRDefault="009B5D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C916B" w14:textId="77777777" w:rsidR="009B5D24" w:rsidRDefault="009B5D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276D5" w14:textId="77777777" w:rsidR="009B5D24" w:rsidRDefault="009B5D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5D1323"/>
    <w:multiLevelType w:val="hybridMultilevel"/>
    <w:tmpl w:val="598480E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A515CF"/>
    <w:multiLevelType w:val="hybridMultilevel"/>
    <w:tmpl w:val="5EE29F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19237360">
    <w:abstractNumId w:val="0"/>
  </w:num>
  <w:num w:numId="2" w16cid:durableId="8411674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800"/>
    <w:rsid w:val="00314800"/>
    <w:rsid w:val="006430FE"/>
    <w:rsid w:val="006A4BB5"/>
    <w:rsid w:val="006B6BED"/>
    <w:rsid w:val="008C0A5C"/>
    <w:rsid w:val="009B5D24"/>
    <w:rsid w:val="00AB0C46"/>
    <w:rsid w:val="00DB29E0"/>
    <w:rsid w:val="00E13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CBE5C"/>
  <w15:chartTrackingRefBased/>
  <w15:docId w15:val="{AE02E354-C528-4C65-A552-6AECC8CF8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800"/>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800"/>
    <w:pPr>
      <w:ind w:left="720"/>
      <w:contextualSpacing/>
    </w:pPr>
  </w:style>
  <w:style w:type="paragraph" w:styleId="Header">
    <w:name w:val="header"/>
    <w:basedOn w:val="Normal"/>
    <w:link w:val="HeaderChar"/>
    <w:uiPriority w:val="99"/>
    <w:unhideWhenUsed/>
    <w:rsid w:val="009B5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D24"/>
    <w:rPr>
      <w:kern w:val="0"/>
      <w14:ligatures w14:val="none"/>
    </w:rPr>
  </w:style>
  <w:style w:type="paragraph" w:styleId="Footer">
    <w:name w:val="footer"/>
    <w:basedOn w:val="Normal"/>
    <w:link w:val="FooterChar"/>
    <w:uiPriority w:val="99"/>
    <w:unhideWhenUsed/>
    <w:rsid w:val="009B5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D24"/>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924560">
      <w:bodyDiv w:val="1"/>
      <w:marLeft w:val="0"/>
      <w:marRight w:val="0"/>
      <w:marTop w:val="0"/>
      <w:marBottom w:val="0"/>
      <w:divBdr>
        <w:top w:val="none" w:sz="0" w:space="0" w:color="auto"/>
        <w:left w:val="none" w:sz="0" w:space="0" w:color="auto"/>
        <w:bottom w:val="none" w:sz="0" w:space="0" w:color="auto"/>
        <w:right w:val="none" w:sz="0" w:space="0" w:color="auto"/>
      </w:divBdr>
    </w:div>
    <w:div w:id="1439135336">
      <w:bodyDiv w:val="1"/>
      <w:marLeft w:val="0"/>
      <w:marRight w:val="0"/>
      <w:marTop w:val="0"/>
      <w:marBottom w:val="0"/>
      <w:divBdr>
        <w:top w:val="none" w:sz="0" w:space="0" w:color="auto"/>
        <w:left w:val="none" w:sz="0" w:space="0" w:color="auto"/>
        <w:bottom w:val="none" w:sz="0" w:space="0" w:color="auto"/>
        <w:right w:val="none" w:sz="0" w:space="0" w:color="auto"/>
      </w:divBdr>
    </w:div>
    <w:div w:id="163263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Dougherty, Sharyn</dc:creator>
  <cp:keywords/>
  <dc:description/>
  <cp:lastModifiedBy>Dougherty, Sharyn</cp:lastModifiedBy>
  <cp:revision>2</cp:revision>
  <dcterms:created xsi:type="dcterms:W3CDTF">2024-07-10T16:57:00Z</dcterms:created>
  <dcterms:modified xsi:type="dcterms:W3CDTF">2024-07-10T17:58:00Z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409539525</vt:i4>
  </property>
  <property fmtid="{D5CDD505-2E9C-101B-9397-08002B2CF9AE}" pid="3" name="_NewReviewCycle">
    <vt:lpwstr/>
  </property>
  <property fmtid="{D5CDD505-2E9C-101B-9397-08002B2CF9AE}" pid="4" name="_EmailSubject">
    <vt:lpwstr>Website Update: ARDRAW</vt:lpwstr>
  </property>
  <property fmtid="{D5CDD505-2E9C-101B-9397-08002B2CF9AE}" pid="5" name="_AuthorEmail">
    <vt:lpwstr>Laura.King@ssa.gov</vt:lpwstr>
  </property>
  <property fmtid="{D5CDD505-2E9C-101B-9397-08002B2CF9AE}" pid="6" name="_AuthorEmailDisplayName">
    <vt:lpwstr>King, Laura</vt:lpwstr>
  </property>
</Properties>
</file>